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ED88" w14:textId="08A8D900" w:rsidR="005D66C8" w:rsidRDefault="003421FB" w:rsidP="003421FB">
      <w:pPr>
        <w:rPr>
          <w:rFonts w:ascii="Georgia" w:hAnsi="Georgia"/>
        </w:rPr>
      </w:pPr>
      <w:r w:rsidRPr="003421FB">
        <w:rPr>
          <w:rFonts w:ascii="Georgia" w:hAnsi="Georgia"/>
        </w:rPr>
        <w:t>West</w:t>
      </w:r>
      <w:r>
        <w:rPr>
          <w:rFonts w:ascii="Georgia" w:hAnsi="Georgia"/>
        </w:rPr>
        <w:t xml:space="preserve"> Virginia law requires that the University d</w:t>
      </w:r>
      <w:r w:rsidRPr="003421FB">
        <w:rPr>
          <w:rFonts w:ascii="Georgia" w:hAnsi="Georgia"/>
        </w:rPr>
        <w:t xml:space="preserve">esignate </w:t>
      </w:r>
      <w:proofErr w:type="gramStart"/>
      <w:r>
        <w:rPr>
          <w:rFonts w:ascii="Georgia" w:hAnsi="Georgia"/>
        </w:rPr>
        <w:t>all of</w:t>
      </w:r>
      <w:proofErr w:type="gramEnd"/>
      <w:r>
        <w:rPr>
          <w:rFonts w:ascii="Georgia" w:hAnsi="Georgia"/>
        </w:rPr>
        <w:t xml:space="preserve"> its </w:t>
      </w:r>
      <w:r w:rsidRPr="003421FB">
        <w:rPr>
          <w:rFonts w:ascii="Georgia" w:hAnsi="Georgia"/>
        </w:rPr>
        <w:t>multiple occupancy restrooms or changing rooms</w:t>
      </w:r>
      <w:r>
        <w:rPr>
          <w:rFonts w:ascii="Georgia" w:hAnsi="Georgia"/>
        </w:rPr>
        <w:t xml:space="preserve"> as being for </w:t>
      </w:r>
      <w:r w:rsidRPr="003421FB">
        <w:rPr>
          <w:rFonts w:ascii="Georgia" w:hAnsi="Georgia"/>
        </w:rPr>
        <w:t>the exclusive use of females</w:t>
      </w:r>
      <w:r>
        <w:rPr>
          <w:rFonts w:ascii="Georgia" w:hAnsi="Georgia"/>
        </w:rPr>
        <w:t xml:space="preserve"> or for the e</w:t>
      </w:r>
      <w:r w:rsidRPr="003421FB">
        <w:rPr>
          <w:rFonts w:ascii="Georgia" w:hAnsi="Georgia"/>
        </w:rPr>
        <w:t>xclusive use of males</w:t>
      </w:r>
      <w:r>
        <w:rPr>
          <w:rFonts w:ascii="Georgia" w:hAnsi="Georgia"/>
        </w:rPr>
        <w:t>. The University does provide, however, single-occupancy restrooms or changing rooms as a reasonable a</w:t>
      </w:r>
      <w:r w:rsidRPr="003421FB">
        <w:rPr>
          <w:rFonts w:ascii="Georgia" w:hAnsi="Georgia"/>
        </w:rPr>
        <w:t>ccommodation to an individual who is unwilling or unable to use</w:t>
      </w:r>
      <w:r>
        <w:rPr>
          <w:rFonts w:ascii="Georgia" w:hAnsi="Georgia"/>
        </w:rPr>
        <w:t xml:space="preserve"> </w:t>
      </w:r>
      <w:r w:rsidRPr="003421FB">
        <w:rPr>
          <w:rFonts w:ascii="Georgia" w:hAnsi="Georgia"/>
        </w:rPr>
        <w:t>a multiple occupancy restroom or changing area designated for such individual's sex.</w:t>
      </w:r>
      <w:r>
        <w:rPr>
          <w:rFonts w:ascii="Georgia" w:hAnsi="Georgia"/>
        </w:rPr>
        <w:t xml:space="preserve"> Those single-occupancy restrooms are available in the following locations:</w:t>
      </w:r>
    </w:p>
    <w:p w14:paraId="2B693543" w14:textId="77777777" w:rsidR="003421FB" w:rsidRDefault="003421FB" w:rsidP="003421FB">
      <w:pPr>
        <w:rPr>
          <w:rFonts w:ascii="Georgia" w:hAnsi="Georgia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280"/>
        <w:gridCol w:w="2940"/>
        <w:gridCol w:w="4140"/>
      </w:tblGrid>
      <w:tr w:rsidR="003421FB" w:rsidRPr="003421FB" w14:paraId="3AEB4F4E" w14:textId="77777777" w:rsidTr="00595B64">
        <w:trPr>
          <w:trHeight w:val="36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E8C4" w14:textId="77777777" w:rsidR="003421FB" w:rsidRPr="003421FB" w:rsidRDefault="003421FB" w:rsidP="003421FB">
            <w:pPr>
              <w:rPr>
                <w:rFonts w:ascii="Georgia" w:hAnsi="Georgia"/>
                <w:b/>
                <w:bCs/>
              </w:rPr>
            </w:pPr>
            <w:r w:rsidRPr="003421FB">
              <w:rPr>
                <w:rFonts w:ascii="Georgia" w:hAnsi="Georgia"/>
                <w:b/>
                <w:bCs/>
              </w:rPr>
              <w:t>Building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A35C" w14:textId="77777777" w:rsidR="003421FB" w:rsidRPr="003421FB" w:rsidRDefault="003421FB" w:rsidP="003421FB">
            <w:pPr>
              <w:rPr>
                <w:rFonts w:ascii="Georgia" w:hAnsi="Georgia"/>
                <w:b/>
                <w:bCs/>
              </w:rPr>
            </w:pPr>
            <w:r w:rsidRPr="003421FB">
              <w:rPr>
                <w:rFonts w:ascii="Georgia" w:hAnsi="Georgia"/>
                <w:b/>
                <w:bCs/>
              </w:rPr>
              <w:t>Location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D983" w14:textId="001D32ED" w:rsidR="003421FB" w:rsidRPr="003421FB" w:rsidRDefault="003421FB" w:rsidP="003421FB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Directions</w:t>
            </w:r>
          </w:p>
        </w:tc>
      </w:tr>
      <w:tr w:rsidR="003421FB" w:rsidRPr="003421FB" w14:paraId="19265BB6" w14:textId="77777777" w:rsidTr="00595B64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3F92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>Student Union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B4E3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>2nd floor #33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0ADC" w14:textId="56A3EB38" w:rsidR="003421FB" w:rsidRPr="003421FB" w:rsidRDefault="003421FB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Use the stairwell at the north end of the building (nearest Main Hall) and go to the second floor. Restroom is in the hall on the left.</w:t>
            </w:r>
          </w:p>
        </w:tc>
      </w:tr>
      <w:tr w:rsidR="003421FB" w:rsidRPr="003421FB" w14:paraId="737E3872" w14:textId="77777777" w:rsidTr="00595B64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1B06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>Curtis Hall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A113" w14:textId="57B7533B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 xml:space="preserve">1st </w:t>
            </w:r>
            <w:proofErr w:type="gramStart"/>
            <w:r w:rsidRPr="003421FB">
              <w:rPr>
                <w:rFonts w:ascii="Georgia" w:hAnsi="Georgia"/>
              </w:rPr>
              <w:t>floor</w:t>
            </w:r>
            <w:r>
              <w:rPr>
                <w:rFonts w:ascii="Georgia" w:hAnsi="Georgia"/>
              </w:rPr>
              <w:t xml:space="preserve">, </w:t>
            </w:r>
            <w:r w:rsidRPr="003421FB">
              <w:rPr>
                <w:rFonts w:ascii="Georgia" w:hAnsi="Georgia"/>
              </w:rPr>
              <w:t>#</w:t>
            </w:r>
            <w:proofErr w:type="gramEnd"/>
            <w:r w:rsidRPr="003421FB">
              <w:rPr>
                <w:rFonts w:ascii="Georgia" w:hAnsi="Georgia"/>
              </w:rPr>
              <w:t>119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4552" w14:textId="305530E1" w:rsidR="003421FB" w:rsidRPr="003421FB" w:rsidRDefault="003421FB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First floor, south end of the hallway.</w:t>
            </w:r>
          </w:p>
        </w:tc>
      </w:tr>
      <w:tr w:rsidR="003421FB" w:rsidRPr="003421FB" w14:paraId="6E7B5ED9" w14:textId="77777777" w:rsidTr="00595B64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6F90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>Library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D4C9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>2nd floor #204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E4F5" w14:textId="630303A8" w:rsidR="003421FB" w:rsidRPr="003421FB" w:rsidRDefault="003421FB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Enter the library on the second floor; restrooms are to the left.</w:t>
            </w:r>
          </w:p>
        </w:tc>
      </w:tr>
      <w:tr w:rsidR="003421FB" w:rsidRPr="003421FB" w14:paraId="09EE114F" w14:textId="77777777" w:rsidTr="00595B64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8E7D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>Library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1B5E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 xml:space="preserve">2nd floor #207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A357" w14:textId="645081DC" w:rsidR="003421FB" w:rsidRPr="003421FB" w:rsidRDefault="00595B64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Enter the library on the second floor; restrooms are to the left.</w:t>
            </w:r>
          </w:p>
        </w:tc>
      </w:tr>
      <w:tr w:rsidR="003421FB" w:rsidRPr="003421FB" w14:paraId="36776868" w14:textId="77777777" w:rsidTr="00595B64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7C57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 xml:space="preserve">Shaw Hall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EED8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>Nurses Office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BB1F" w14:textId="35B9C3E5" w:rsidR="003421FB" w:rsidRPr="003421FB" w:rsidRDefault="003421FB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The Nurse’s Office is on the back side of Shaw Hall, at ground level. </w:t>
            </w:r>
          </w:p>
        </w:tc>
      </w:tr>
      <w:tr w:rsidR="003421FB" w:rsidRPr="003421FB" w14:paraId="6DA1B7E1" w14:textId="77777777" w:rsidTr="00595B64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36F3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>ASRC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C199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>4th floor #409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E2B3" w14:textId="5305779E" w:rsidR="003421FB" w:rsidRPr="003421FB" w:rsidRDefault="003421FB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Use the stairwell inside the main doors of the ASRC to the right</w:t>
            </w:r>
            <w:r w:rsidR="009C4BC5">
              <w:rPr>
                <w:rFonts w:ascii="Georgia" w:hAnsi="Georgia"/>
              </w:rPr>
              <w:t>. Restroom is the next level up the stairs at the end of the hall.</w:t>
            </w:r>
          </w:p>
        </w:tc>
      </w:tr>
      <w:tr w:rsidR="009C4BC5" w:rsidRPr="003421FB" w14:paraId="3FF2BD0B" w14:textId="77777777" w:rsidTr="00595B64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EE479" w14:textId="6B808ECA" w:rsidR="009C4BC5" w:rsidRPr="003421FB" w:rsidRDefault="009C4BC5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Campbell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FF6B0" w14:textId="7ACF7D7E" w:rsidR="009C4BC5" w:rsidRPr="003421FB" w:rsidRDefault="009C4BC5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Dental Hygiene Offices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773D0" w14:textId="1892C619" w:rsidR="009C4BC5" w:rsidRPr="003421FB" w:rsidRDefault="009C4BC5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Enter Campbell through the Dental Hygiene waiting area at the northwest end of Campbell. Restroom is to the right of the </w:t>
            </w:r>
            <w:proofErr w:type="gramStart"/>
            <w:r>
              <w:rPr>
                <w:rFonts w:ascii="Georgia" w:hAnsi="Georgia"/>
              </w:rPr>
              <w:t>receptionist</w:t>
            </w:r>
            <w:proofErr w:type="gramEnd"/>
            <w:r>
              <w:rPr>
                <w:rFonts w:ascii="Georgia" w:hAnsi="Georgia"/>
              </w:rPr>
              <w:t xml:space="preserve"> area.</w:t>
            </w:r>
          </w:p>
        </w:tc>
      </w:tr>
      <w:tr w:rsidR="009C4BC5" w:rsidRPr="003421FB" w14:paraId="092839AD" w14:textId="77777777" w:rsidTr="00595B64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94FF1" w14:textId="409197E4" w:rsidR="009C4BC5" w:rsidRPr="003421FB" w:rsidRDefault="009C4BC5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Fine Arts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CACF0" w14:textId="7129A98D" w:rsidR="009C4BC5" w:rsidRPr="003421FB" w:rsidRDefault="009C4BC5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Music Department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34B9A" w14:textId="3BA66372" w:rsidR="009C4BC5" w:rsidRPr="003421FB" w:rsidRDefault="009C4BC5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Two former multiple occupancy restrooms in the Music Department have been converted </w:t>
            </w:r>
            <w:proofErr w:type="gramStart"/>
            <w:r>
              <w:rPr>
                <w:rFonts w:ascii="Georgia" w:hAnsi="Georgia"/>
              </w:rPr>
              <w:t>to</w:t>
            </w:r>
            <w:proofErr w:type="gramEnd"/>
            <w:r>
              <w:rPr>
                <w:rFonts w:ascii="Georgia" w:hAnsi="Georgia"/>
              </w:rPr>
              <w:t xml:space="preserve"> single occupancy restrooms. </w:t>
            </w:r>
          </w:p>
        </w:tc>
      </w:tr>
      <w:tr w:rsidR="003421FB" w:rsidRPr="003421FB" w14:paraId="438D2FCD" w14:textId="77777777" w:rsidTr="00595B64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562B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lastRenderedPageBreak/>
              <w:t>Rogers Hall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8736" w14:textId="7008CAD2" w:rsidR="003421FB" w:rsidRPr="003421FB" w:rsidRDefault="00853CFC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Bear’s Den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096B" w14:textId="7416CB43" w:rsidR="003421FB" w:rsidRPr="003421FB" w:rsidRDefault="00853CFC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Restroom is to the right of the main doors </w:t>
            </w:r>
            <w:proofErr w:type="gramStart"/>
            <w:r>
              <w:rPr>
                <w:rFonts w:ascii="Georgia" w:hAnsi="Georgia"/>
              </w:rPr>
              <w:t>entering into</w:t>
            </w:r>
            <w:proofErr w:type="gramEnd"/>
            <w:r>
              <w:rPr>
                <w:rFonts w:ascii="Georgia" w:hAnsi="Georgia"/>
              </w:rPr>
              <w:t xml:space="preserve"> Rogers Hall, </w:t>
            </w:r>
            <w:proofErr w:type="gramStart"/>
            <w:r>
              <w:rPr>
                <w:rFonts w:ascii="Georgia" w:hAnsi="Georgia"/>
              </w:rPr>
              <w:t>in</w:t>
            </w:r>
            <w:proofErr w:type="gramEnd"/>
            <w:r>
              <w:rPr>
                <w:rFonts w:ascii="Georgia" w:hAnsi="Georgia"/>
              </w:rPr>
              <w:t xml:space="preserve"> the corner.</w:t>
            </w:r>
          </w:p>
        </w:tc>
      </w:tr>
      <w:tr w:rsidR="003421FB" w:rsidRPr="003421FB" w14:paraId="22C9400E" w14:textId="77777777" w:rsidTr="00595B64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9A64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>Main Hall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D9B4" w14:textId="6C11EB40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 xml:space="preserve">1st floor </w:t>
            </w:r>
            <w:r w:rsidR="00853CFC">
              <w:rPr>
                <w:rFonts w:ascii="Georgia" w:hAnsi="Georgia"/>
              </w:rPr>
              <w:t>W</w:t>
            </w:r>
            <w:r w:rsidRPr="003421FB">
              <w:rPr>
                <w:rFonts w:ascii="Georgia" w:hAnsi="Georgia"/>
              </w:rPr>
              <w:t xml:space="preserve">est </w:t>
            </w:r>
            <w:proofErr w:type="gramStart"/>
            <w:r w:rsidR="00853CFC">
              <w:rPr>
                <w:rFonts w:ascii="Georgia" w:hAnsi="Georgia"/>
              </w:rPr>
              <w:t>W</w:t>
            </w:r>
            <w:r w:rsidRPr="003421FB">
              <w:rPr>
                <w:rFonts w:ascii="Georgia" w:hAnsi="Georgia"/>
              </w:rPr>
              <w:t>ing</w:t>
            </w:r>
            <w:r w:rsidR="00853CFC">
              <w:rPr>
                <w:rFonts w:ascii="Georgia" w:hAnsi="Georgia"/>
              </w:rPr>
              <w:t>,</w:t>
            </w:r>
            <w:r w:rsidRPr="003421FB">
              <w:rPr>
                <w:rFonts w:ascii="Georgia" w:hAnsi="Georgia"/>
              </w:rPr>
              <w:t xml:space="preserve"> #</w:t>
            </w:r>
            <w:proofErr w:type="gramEnd"/>
            <w:r w:rsidRPr="003421FB">
              <w:rPr>
                <w:rFonts w:ascii="Georgia" w:hAnsi="Georgia"/>
              </w:rPr>
              <w:t>193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D08" w14:textId="279E339E" w:rsidR="003421FB" w:rsidRPr="003421FB" w:rsidRDefault="00853CFC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Enter the West Wing from the breezeway; restroom is on the left side in the hallway.</w:t>
            </w:r>
          </w:p>
        </w:tc>
      </w:tr>
      <w:tr w:rsidR="003421FB" w:rsidRPr="003421FB" w14:paraId="09562897" w14:textId="77777777" w:rsidTr="00595B64">
        <w:trPr>
          <w:trHeight w:val="28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0BE4" w14:textId="77777777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>Main Hall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E326" w14:textId="2CB73E33" w:rsidR="003421FB" w:rsidRPr="003421FB" w:rsidRDefault="003421FB" w:rsidP="003421FB">
            <w:pPr>
              <w:rPr>
                <w:rFonts w:ascii="Georgia" w:hAnsi="Georgia"/>
              </w:rPr>
            </w:pPr>
            <w:r w:rsidRPr="003421FB">
              <w:rPr>
                <w:rFonts w:ascii="Georgia" w:hAnsi="Georgia"/>
              </w:rPr>
              <w:t xml:space="preserve">1st floor </w:t>
            </w:r>
            <w:r w:rsidR="00853CFC">
              <w:rPr>
                <w:rFonts w:ascii="Georgia" w:hAnsi="Georgia"/>
              </w:rPr>
              <w:t>W</w:t>
            </w:r>
            <w:r w:rsidRPr="003421FB">
              <w:rPr>
                <w:rFonts w:ascii="Georgia" w:hAnsi="Georgia"/>
              </w:rPr>
              <w:t xml:space="preserve">est </w:t>
            </w:r>
            <w:proofErr w:type="gramStart"/>
            <w:r w:rsidR="00853CFC">
              <w:rPr>
                <w:rFonts w:ascii="Georgia" w:hAnsi="Georgia"/>
              </w:rPr>
              <w:t>W</w:t>
            </w:r>
            <w:r w:rsidRPr="003421FB">
              <w:rPr>
                <w:rFonts w:ascii="Georgia" w:hAnsi="Georgia"/>
              </w:rPr>
              <w:t>ing</w:t>
            </w:r>
            <w:r w:rsidR="00853CFC">
              <w:rPr>
                <w:rFonts w:ascii="Georgia" w:hAnsi="Georgia"/>
              </w:rPr>
              <w:t>,</w:t>
            </w:r>
            <w:r w:rsidRPr="003421FB">
              <w:rPr>
                <w:rFonts w:ascii="Georgia" w:hAnsi="Georgia"/>
              </w:rPr>
              <w:t xml:space="preserve"> #</w:t>
            </w:r>
            <w:proofErr w:type="gramEnd"/>
            <w:r w:rsidRPr="003421FB">
              <w:rPr>
                <w:rFonts w:ascii="Georgia" w:hAnsi="Georgia"/>
              </w:rPr>
              <w:t>118G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00EC" w14:textId="552377D1" w:rsidR="003421FB" w:rsidRPr="003421FB" w:rsidRDefault="00853CFC" w:rsidP="003421F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Enter the College of Education and Human Performance Offices in the West Wing; restroom is on the left.</w:t>
            </w:r>
          </w:p>
        </w:tc>
      </w:tr>
    </w:tbl>
    <w:p w14:paraId="24EF87C6" w14:textId="77777777" w:rsidR="003421FB" w:rsidRPr="003421FB" w:rsidRDefault="003421FB" w:rsidP="003421FB">
      <w:pPr>
        <w:rPr>
          <w:rFonts w:ascii="Georgia" w:hAnsi="Georgia"/>
        </w:rPr>
      </w:pPr>
    </w:p>
    <w:sectPr w:rsidR="003421FB" w:rsidRPr="00342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FB"/>
    <w:rsid w:val="001813B2"/>
    <w:rsid w:val="001B0C50"/>
    <w:rsid w:val="00327448"/>
    <w:rsid w:val="003421FB"/>
    <w:rsid w:val="003B4166"/>
    <w:rsid w:val="00475D58"/>
    <w:rsid w:val="00595B64"/>
    <w:rsid w:val="005D66C8"/>
    <w:rsid w:val="007D0F4F"/>
    <w:rsid w:val="00853CFC"/>
    <w:rsid w:val="00925415"/>
    <w:rsid w:val="009C4BC5"/>
    <w:rsid w:val="00B14DF6"/>
    <w:rsid w:val="00B94AEB"/>
    <w:rsid w:val="00C60B4D"/>
    <w:rsid w:val="00E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B6E6"/>
  <w15:chartTrackingRefBased/>
  <w15:docId w15:val="{C0740A46-C9D7-4338-AB3F-CADA436B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1563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Manning</dc:creator>
  <cp:keywords/>
  <dc:description/>
  <cp:lastModifiedBy>Melissa Carroll</cp:lastModifiedBy>
  <cp:revision>3</cp:revision>
  <cp:lastPrinted>2025-09-09T18:56:00Z</cp:lastPrinted>
  <dcterms:created xsi:type="dcterms:W3CDTF">2025-10-16T20:22:00Z</dcterms:created>
  <dcterms:modified xsi:type="dcterms:W3CDTF">2025-10-16T20:22:00Z</dcterms:modified>
</cp:coreProperties>
</file>